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A1AE" w14:textId="77777777" w:rsidR="00DE0609" w:rsidRPr="00DE0609" w:rsidRDefault="00DE0609" w:rsidP="00DE0609">
      <w:pPr>
        <w:shd w:val="clear" w:color="auto" w:fill="FFFFFF"/>
        <w:spacing w:after="150" w:line="360" w:lineRule="auto"/>
        <w:jc w:val="center"/>
        <w:rPr>
          <w:rFonts w:ascii="Helvetica" w:eastAsia="Times New Roman" w:hAnsi="Helvetica" w:cs="Helvetica"/>
          <w:sz w:val="21"/>
          <w:szCs w:val="21"/>
          <w:lang w:eastAsia="es-CO"/>
        </w:rPr>
      </w:pPr>
      <w:r w:rsidRPr="00DE0609">
        <w:rPr>
          <w:rFonts w:ascii="Helvetica" w:eastAsia="Times New Roman" w:hAnsi="Helvetica" w:cs="Helvetica"/>
          <w:b/>
          <w:bCs/>
          <w:sz w:val="21"/>
          <w:szCs w:val="21"/>
          <w:lang w:eastAsia="es-CO"/>
        </w:rPr>
        <w:t xml:space="preserve">OFICIO </w:t>
      </w:r>
      <w:proofErr w:type="spellStart"/>
      <w:r w:rsidRPr="00DE0609">
        <w:rPr>
          <w:rFonts w:ascii="Helvetica" w:eastAsia="Times New Roman" w:hAnsi="Helvetica" w:cs="Helvetica"/>
          <w:b/>
          <w:bCs/>
          <w:sz w:val="21"/>
          <w:szCs w:val="21"/>
          <w:lang w:eastAsia="es-CO"/>
        </w:rPr>
        <w:t>Nº</w:t>
      </w:r>
      <w:proofErr w:type="spellEnd"/>
      <w:r w:rsidRPr="00DE0609">
        <w:rPr>
          <w:rFonts w:ascii="Helvetica" w:eastAsia="Times New Roman" w:hAnsi="Helvetica" w:cs="Helvetica"/>
          <w:b/>
          <w:bCs/>
          <w:sz w:val="21"/>
          <w:szCs w:val="21"/>
          <w:lang w:eastAsia="es-CO"/>
        </w:rPr>
        <w:t xml:space="preserve"> 1096(906723)</w:t>
      </w:r>
      <w:r w:rsidRPr="00DE0609">
        <w:rPr>
          <w:rFonts w:ascii="Helvetica" w:eastAsia="Times New Roman" w:hAnsi="Helvetica" w:cs="Helvetica"/>
          <w:b/>
          <w:bCs/>
          <w:sz w:val="21"/>
          <w:szCs w:val="21"/>
          <w:lang w:eastAsia="es-CO"/>
        </w:rPr>
        <w:br/>
        <w:t>06-09-2022</w:t>
      </w:r>
      <w:r w:rsidRPr="00DE0609">
        <w:rPr>
          <w:rFonts w:ascii="Helvetica" w:eastAsia="Times New Roman" w:hAnsi="Helvetica" w:cs="Helvetica"/>
          <w:b/>
          <w:bCs/>
          <w:sz w:val="21"/>
          <w:szCs w:val="21"/>
          <w:lang w:eastAsia="es-CO"/>
        </w:rPr>
        <w:br/>
        <w:t>DIAN</w:t>
      </w:r>
    </w:p>
    <w:p w14:paraId="02177AC3" w14:textId="77777777" w:rsidR="00DE0609" w:rsidRPr="00DE0609" w:rsidRDefault="00DE0609" w:rsidP="00DE0609">
      <w:pPr>
        <w:shd w:val="clear" w:color="auto" w:fill="FFFFFF"/>
        <w:spacing w:after="150" w:line="360" w:lineRule="auto"/>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59CD49B4"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33916772"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Subdirección de Normativa y Doctrina</w:t>
      </w:r>
    </w:p>
    <w:p w14:paraId="6C3A3DDA"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100208192-1096</w:t>
      </w:r>
    </w:p>
    <w:p w14:paraId="1163D24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Bogotá, D.C.</w:t>
      </w:r>
    </w:p>
    <w:p w14:paraId="3D87A26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65"/>
        <w:gridCol w:w="7791"/>
      </w:tblGrid>
      <w:tr w:rsidR="00DE0609" w:rsidRPr="00DE0609" w14:paraId="16BE81D8" w14:textId="77777777" w:rsidTr="00DE0609">
        <w:tc>
          <w:tcPr>
            <w:tcW w:w="0" w:type="auto"/>
            <w:shd w:val="clear" w:color="auto" w:fill="FFFFFF"/>
            <w:tcMar>
              <w:top w:w="0" w:type="dxa"/>
              <w:left w:w="0" w:type="dxa"/>
              <w:bottom w:w="0" w:type="dxa"/>
              <w:right w:w="0" w:type="dxa"/>
            </w:tcMar>
            <w:hideMark/>
          </w:tcPr>
          <w:p w14:paraId="176EE9E5"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sz w:val="21"/>
                <w:szCs w:val="21"/>
                <w:lang w:eastAsia="es-CO"/>
              </w:rPr>
              <w:t>Tema:</w:t>
            </w:r>
          </w:p>
        </w:tc>
        <w:tc>
          <w:tcPr>
            <w:tcW w:w="0" w:type="auto"/>
            <w:shd w:val="clear" w:color="auto" w:fill="FFFFFF"/>
            <w:tcMar>
              <w:top w:w="0" w:type="dxa"/>
              <w:left w:w="0" w:type="dxa"/>
              <w:bottom w:w="0" w:type="dxa"/>
              <w:right w:w="0" w:type="dxa"/>
            </w:tcMar>
            <w:hideMark/>
          </w:tcPr>
          <w:p w14:paraId="150FB5CF"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Procedimiento tributario</w:t>
            </w:r>
          </w:p>
        </w:tc>
      </w:tr>
      <w:tr w:rsidR="00DE0609" w:rsidRPr="00DE0609" w14:paraId="6409EA14" w14:textId="77777777" w:rsidTr="00DE0609">
        <w:tc>
          <w:tcPr>
            <w:tcW w:w="0" w:type="auto"/>
            <w:shd w:val="clear" w:color="auto" w:fill="FFFFFF"/>
            <w:tcMar>
              <w:top w:w="0" w:type="dxa"/>
              <w:left w:w="0" w:type="dxa"/>
              <w:bottom w:w="0" w:type="dxa"/>
              <w:right w:w="0" w:type="dxa"/>
            </w:tcMar>
            <w:hideMark/>
          </w:tcPr>
          <w:p w14:paraId="2588056D"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sz w:val="21"/>
                <w:szCs w:val="21"/>
                <w:lang w:eastAsia="es-CO"/>
              </w:rPr>
              <w:t>Descriptores:</w:t>
            </w:r>
          </w:p>
        </w:tc>
        <w:tc>
          <w:tcPr>
            <w:tcW w:w="0" w:type="auto"/>
            <w:shd w:val="clear" w:color="auto" w:fill="FFFFFF"/>
            <w:tcMar>
              <w:top w:w="0" w:type="dxa"/>
              <w:left w:w="0" w:type="dxa"/>
              <w:bottom w:w="0" w:type="dxa"/>
              <w:right w:w="0" w:type="dxa"/>
            </w:tcMar>
            <w:hideMark/>
          </w:tcPr>
          <w:p w14:paraId="6E44E4C9"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Aplicación de la ley en el tiempo</w:t>
            </w:r>
          </w:p>
        </w:tc>
      </w:tr>
      <w:tr w:rsidR="00DE0609" w:rsidRPr="00DE0609" w14:paraId="1046B4DF" w14:textId="77777777" w:rsidTr="00DE0609">
        <w:tc>
          <w:tcPr>
            <w:tcW w:w="0" w:type="auto"/>
            <w:shd w:val="clear" w:color="auto" w:fill="FFFFFF"/>
            <w:tcMar>
              <w:top w:w="0" w:type="dxa"/>
              <w:left w:w="0" w:type="dxa"/>
              <w:bottom w:w="0" w:type="dxa"/>
              <w:right w:w="0" w:type="dxa"/>
            </w:tcMar>
            <w:hideMark/>
          </w:tcPr>
          <w:p w14:paraId="6B65F33B"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sz w:val="21"/>
                <w:szCs w:val="21"/>
                <w:lang w:eastAsia="es-CO"/>
              </w:rPr>
              <w:t>Fuentes formales:</w:t>
            </w:r>
          </w:p>
        </w:tc>
        <w:tc>
          <w:tcPr>
            <w:tcW w:w="0" w:type="auto"/>
            <w:shd w:val="clear" w:color="auto" w:fill="FFFFFF"/>
            <w:tcMar>
              <w:top w:w="0" w:type="dxa"/>
              <w:left w:w="0" w:type="dxa"/>
              <w:bottom w:w="0" w:type="dxa"/>
              <w:right w:w="0" w:type="dxa"/>
            </w:tcMar>
            <w:hideMark/>
          </w:tcPr>
          <w:p w14:paraId="413102D6" w14:textId="77777777" w:rsidR="00DE0609" w:rsidRPr="00DE0609" w:rsidRDefault="00DE0609" w:rsidP="00DE0609">
            <w:pPr>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xml:space="preserve">Consejo de Estado, Sección Cuarta, sentencia del 27 de junio de 2019, radicación </w:t>
            </w:r>
            <w:proofErr w:type="spellStart"/>
            <w:r w:rsidRPr="00DE0609">
              <w:rPr>
                <w:rFonts w:ascii="Helvetica" w:eastAsia="Times New Roman" w:hAnsi="Helvetica" w:cs="Helvetica"/>
                <w:sz w:val="21"/>
                <w:szCs w:val="21"/>
                <w:lang w:eastAsia="es-CO"/>
              </w:rPr>
              <w:t>N°</w:t>
            </w:r>
            <w:proofErr w:type="spellEnd"/>
            <w:r w:rsidRPr="00DE0609">
              <w:rPr>
                <w:rFonts w:ascii="Helvetica" w:eastAsia="Times New Roman" w:hAnsi="Helvetica" w:cs="Helvetica"/>
                <w:sz w:val="21"/>
                <w:szCs w:val="21"/>
                <w:lang w:eastAsia="es-CO"/>
              </w:rPr>
              <w:t xml:space="preserve"> 11001-03-27-000-2016-00020-00 (22421), C.P. Julio Roberto Piza Rodríguez.</w:t>
            </w:r>
          </w:p>
        </w:tc>
      </w:tr>
    </w:tbl>
    <w:p w14:paraId="03957C6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8D2F18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F89C8D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Cordial saludo,</w:t>
      </w:r>
    </w:p>
    <w:p w14:paraId="13EC0F9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21FFCE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De conformidad con el artículo 56 del Decreto 1742 de 2020, este Despacho está facultado para absolver las consultas escritas generales que se formulen sobre la interpretación y aplicación de las normas tributarias, aduaneras y de fiscalización cambiaria,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0037432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318F3D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Mediante el radicado de la referencia, el peticionario consulta por la “posición” de esta Subdirección con respecto a lo señalado por el Consejo de Estado en la Sentencia con número de radicación 11001-03-27-000-2016-00020-00(22421) del veintisiete (27) de junio de dos mil diecinueve (2019) respecto de la aplicación de la ley tributaria en el tiempo.</w:t>
      </w:r>
    </w:p>
    <w:p w14:paraId="4F4F0E18"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26DC7D2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Sobre el particular, las consideraciones generales de este Despacho son las siguientes, teniendo en cuenta que no se plantea un problema jurídico particular por parte del peticionario:</w:t>
      </w:r>
    </w:p>
    <w:p w14:paraId="73BABB47"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5DAF78C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xml:space="preserve">El H. Consejo de Estado en sentencia del 27 de junio de 2019, radicación </w:t>
      </w:r>
      <w:proofErr w:type="spellStart"/>
      <w:r w:rsidRPr="00DE0609">
        <w:rPr>
          <w:rFonts w:ascii="Helvetica" w:eastAsia="Times New Roman" w:hAnsi="Helvetica" w:cs="Helvetica"/>
          <w:sz w:val="21"/>
          <w:szCs w:val="21"/>
          <w:lang w:eastAsia="es-CO"/>
        </w:rPr>
        <w:t>N°</w:t>
      </w:r>
      <w:proofErr w:type="spellEnd"/>
      <w:r w:rsidRPr="00DE0609">
        <w:rPr>
          <w:rFonts w:ascii="Helvetica" w:eastAsia="Times New Roman" w:hAnsi="Helvetica" w:cs="Helvetica"/>
          <w:sz w:val="21"/>
          <w:szCs w:val="21"/>
          <w:lang w:eastAsia="es-CO"/>
        </w:rPr>
        <w:t xml:space="preserve"> 11001-03-27-000- 2016-00020-00(22421), C.P. Julio Roberto Piza Rodríguez, se pronunció respecto a la aplicación de las normas tributarias en el tiempo, la prohibición de retroactividad y el principio de favorabilidad, indicando, entre otros:</w:t>
      </w:r>
    </w:p>
    <w:p w14:paraId="2FB8FFA6"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734543A"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lastRenderedPageBreak/>
        <w:t>“2- En resumidas cuentas, la litis planteada gira en torno al problema de la eficacia temporal de las leyes tributarias y la proyección que pueden tener sobre hechos del pasado. Esta temática tradicionalmente ha ocupado un lugar destacado en las discusiones doctrinales y judiciales pues existe la preocupación de que los efectos retroactivos de las normas tributarias menoscaben la garantía de seguridad jurídica de los contribuyentes. Con el ánimo de obviar esa clase de discusiones y para cerrarle puertas tanto a la retroactividad propia (i.e. la producida cuando las nuevas disposiciones regulan supuestos de hecho de períodos ya concluidos), como a la </w:t>
      </w:r>
      <w:r w:rsidRPr="00DE0609">
        <w:rPr>
          <w:rFonts w:ascii="Helvetica" w:eastAsia="Times New Roman" w:hAnsi="Helvetica" w:cs="Helvetica"/>
          <w:i/>
          <w:iCs/>
          <w:sz w:val="21"/>
          <w:szCs w:val="21"/>
          <w:u w:val="single"/>
          <w:lang w:eastAsia="es-CO"/>
        </w:rPr>
        <w:t>retroactividad impropia (i.e. la que tiene lugar cuando las nuevas normas inciden sobre hechos imponibles que se están desarrollando en el período gravable en curso), nuestra Constitución adoptó reglas estrictas sobre la materia</w:t>
      </w:r>
      <w:r w:rsidRPr="00DE0609">
        <w:rPr>
          <w:rFonts w:ascii="Helvetica" w:eastAsia="Times New Roman" w:hAnsi="Helvetica" w:cs="Helvetica"/>
          <w:i/>
          <w:iCs/>
          <w:sz w:val="21"/>
          <w:szCs w:val="21"/>
          <w:lang w:eastAsia="es-CO"/>
        </w:rPr>
        <w:t>.</w:t>
      </w:r>
    </w:p>
    <w:p w14:paraId="5D901580"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7B95C6E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De una parte, el artículo 363 proscribió los efectos retroactivos de las disposiciones tributarias; y, de otra, </w:t>
      </w:r>
      <w:r w:rsidRPr="00DE0609">
        <w:rPr>
          <w:rFonts w:ascii="Helvetica" w:eastAsia="Times New Roman" w:hAnsi="Helvetica" w:cs="Helvetica"/>
          <w:b/>
          <w:bCs/>
          <w:i/>
          <w:iCs/>
          <w:sz w:val="21"/>
          <w:szCs w:val="21"/>
          <w:u w:val="single"/>
          <w:lang w:eastAsia="es-CO"/>
        </w:rPr>
        <w:t>el inciso final del artículo 338 dispuso que las normas referidas a tributos cuya «base sea el resultado de hechos ocurridos durante un período determinado, no pueden aplicarse sino a partir del período que comience después de iniciar la vigencia de la respectiva ley, ordenanza o acuerdo</w:t>
      </w:r>
      <w:r w:rsidRPr="00DE0609">
        <w:rPr>
          <w:rFonts w:ascii="Helvetica" w:eastAsia="Times New Roman" w:hAnsi="Helvetica" w:cs="Helvetica"/>
          <w:b/>
          <w:bCs/>
          <w:i/>
          <w:iCs/>
          <w:sz w:val="21"/>
          <w:szCs w:val="21"/>
          <w:lang w:eastAsia="es-CO"/>
        </w:rPr>
        <w:t>». </w:t>
      </w:r>
      <w:r w:rsidRPr="00DE0609">
        <w:rPr>
          <w:rFonts w:ascii="Helvetica" w:eastAsia="Times New Roman" w:hAnsi="Helvetica" w:cs="Helvetica"/>
          <w:i/>
          <w:iCs/>
          <w:sz w:val="21"/>
          <w:szCs w:val="21"/>
          <w:lang w:eastAsia="es-CO"/>
        </w:rPr>
        <w:t>El primero de los artículos mencionados impide en términos generales la retroacción, mientras que </w:t>
      </w:r>
      <w:r w:rsidRPr="00DE0609">
        <w:rPr>
          <w:rFonts w:ascii="Helvetica" w:eastAsia="Times New Roman" w:hAnsi="Helvetica" w:cs="Helvetica"/>
          <w:i/>
          <w:iCs/>
          <w:sz w:val="21"/>
          <w:szCs w:val="21"/>
          <w:u w:val="single"/>
          <w:lang w:eastAsia="es-CO"/>
        </w:rPr>
        <w:t xml:space="preserve">el </w:t>
      </w:r>
      <w:proofErr w:type="gramStart"/>
      <w:r w:rsidRPr="00DE0609">
        <w:rPr>
          <w:rFonts w:ascii="Helvetica" w:eastAsia="Times New Roman" w:hAnsi="Helvetica" w:cs="Helvetica"/>
          <w:i/>
          <w:iCs/>
          <w:sz w:val="21"/>
          <w:szCs w:val="21"/>
          <w:u w:val="single"/>
          <w:lang w:eastAsia="es-CO"/>
        </w:rPr>
        <w:t>último ataja</w:t>
      </w:r>
      <w:proofErr w:type="gramEnd"/>
      <w:r w:rsidRPr="00DE0609">
        <w:rPr>
          <w:rFonts w:ascii="Helvetica" w:eastAsia="Times New Roman" w:hAnsi="Helvetica" w:cs="Helvetica"/>
          <w:i/>
          <w:iCs/>
          <w:sz w:val="21"/>
          <w:szCs w:val="21"/>
          <w:u w:val="single"/>
          <w:lang w:eastAsia="es-CO"/>
        </w:rPr>
        <w:t xml:space="preserve"> una específica manifestación de ese fenómeno: la retroactividad impropia</w:t>
      </w:r>
      <w:r w:rsidRPr="00DE0609">
        <w:rPr>
          <w:rFonts w:ascii="Helvetica" w:eastAsia="Times New Roman" w:hAnsi="Helvetica" w:cs="Helvetica"/>
          <w:i/>
          <w:iCs/>
          <w:sz w:val="21"/>
          <w:szCs w:val="21"/>
          <w:lang w:eastAsia="es-CO"/>
        </w:rPr>
        <w:t>. A decir verdad, la perentoria prohibición del artículo 363 bastaría para conjurar cualquier disminución de la seguridad jurídica de los obligados tributarios mediante normas que proyectaran sus efectos sobre hechos correspondientes a períodos ya concluidos o sobre hechos anteriores del período en curso; pero para evitar cualquier riesgo al respecto, se prefirió positivizar, con rango constitucional, la particular regla de inicio de la vigencia de las nuevas normas sobre tributos periódicos transcrita.</w:t>
      </w:r>
    </w:p>
    <w:p w14:paraId="3BFDAD32"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0DEA201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Ambas disposiciones se explican por sí mismas. Basta leerlas para comprender el mandato que incorporan. </w:t>
      </w:r>
      <w:r w:rsidRPr="00DE0609">
        <w:rPr>
          <w:rFonts w:ascii="Helvetica" w:eastAsia="Times New Roman" w:hAnsi="Helvetica" w:cs="Helvetica"/>
          <w:i/>
          <w:iCs/>
          <w:sz w:val="21"/>
          <w:szCs w:val="21"/>
          <w:u w:val="single"/>
          <w:lang w:eastAsia="es-CO"/>
        </w:rPr>
        <w:t>Tienen la pretensión de automatizar el examen constitucional de las decisiones legislativas que dotan de efectos retroactivos a las normas tributarias, zanjando toda duda acerca de la inadmisibilidad de las posibles formas de retroacción que pudieran presentarse; deslegitiman, con una regla apriorística, cualquier ejercicio de ponderación que se plantee entre seguridad jurídica y libertad de configuración normativa tributaria, pues siempre primará aquella sobre esta</w:t>
      </w:r>
      <w:r w:rsidRPr="00DE0609">
        <w:rPr>
          <w:rFonts w:ascii="Helvetica" w:eastAsia="Times New Roman" w:hAnsi="Helvetica" w:cs="Helvetica"/>
          <w:i/>
          <w:iCs/>
          <w:sz w:val="21"/>
          <w:szCs w:val="21"/>
          <w:lang w:eastAsia="es-CO"/>
        </w:rPr>
        <w:t>.</w:t>
      </w:r>
    </w:p>
    <w:p w14:paraId="69DD224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378485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w:t>
      </w:r>
    </w:p>
    <w:p w14:paraId="187D2AC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4DF9620"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11.3- De todas las jurisprudencias citadas, solo resulta ser pertinente a la acusación la sentencia de la Corte Constitucional C-686 de 2011 (MP. Gabriel Eduardo Mendoza Martelo), que conceptuó sobre la constitucionalidad del artículo 16 de la Ley 1429, del 29 de diciembre de 2010, que dispuso que los apoyos económicos no reembolsables entregados por el Estado a empresas a título de capital semilla para el emprendimiento tendrían en el impuesto sobre la renta la calificación jurídica de ingresos no constitutivos de renta ni de ganancia ocasional, «a partir del año 2010, inclusive». </w:t>
      </w:r>
      <w:r w:rsidRPr="00DE0609">
        <w:rPr>
          <w:rFonts w:ascii="Helvetica" w:eastAsia="Times New Roman" w:hAnsi="Helvetica" w:cs="Helvetica"/>
          <w:i/>
          <w:iCs/>
          <w:sz w:val="21"/>
          <w:szCs w:val="21"/>
          <w:u w:val="single"/>
          <w:lang w:eastAsia="es-CO"/>
        </w:rPr>
        <w:t>La norma resultó ser constitucional. Pero no se puede perder de vista que tuvo efectos inmediatos porque su contenido era beneficioso a los contribuyentes que se encontraban en esa situación y </w:t>
      </w:r>
      <w:r w:rsidRPr="00DE0609">
        <w:rPr>
          <w:rFonts w:ascii="Helvetica" w:eastAsia="Times New Roman" w:hAnsi="Helvetica" w:cs="Helvetica"/>
          <w:b/>
          <w:bCs/>
          <w:i/>
          <w:iCs/>
          <w:sz w:val="21"/>
          <w:szCs w:val="21"/>
          <w:u w:val="single"/>
          <w:lang w:eastAsia="es-CO"/>
        </w:rPr>
        <w:t>porque así lo ordenó el legislador</w:t>
      </w:r>
      <w:r w:rsidRPr="00DE0609">
        <w:rPr>
          <w:rFonts w:ascii="Helvetica" w:eastAsia="Times New Roman" w:hAnsi="Helvetica" w:cs="Helvetica"/>
          <w:i/>
          <w:iCs/>
          <w:sz w:val="21"/>
          <w:szCs w:val="21"/>
          <w:u w:val="single"/>
          <w:lang w:eastAsia="es-CO"/>
        </w:rPr>
        <w:t>. Es decir, que </w:t>
      </w:r>
      <w:r w:rsidRPr="00DE0609">
        <w:rPr>
          <w:rFonts w:ascii="Helvetica" w:eastAsia="Times New Roman" w:hAnsi="Helvetica" w:cs="Helvetica"/>
          <w:b/>
          <w:bCs/>
          <w:i/>
          <w:iCs/>
          <w:sz w:val="21"/>
          <w:szCs w:val="21"/>
          <w:u w:val="single"/>
          <w:lang w:eastAsia="es-CO"/>
        </w:rPr>
        <w:t xml:space="preserve">su aplicación para el mismo período en que se promulgó no surgió por </w:t>
      </w:r>
      <w:r w:rsidRPr="00DE0609">
        <w:rPr>
          <w:rFonts w:ascii="Helvetica" w:eastAsia="Times New Roman" w:hAnsi="Helvetica" w:cs="Helvetica"/>
          <w:b/>
          <w:bCs/>
          <w:i/>
          <w:iCs/>
          <w:sz w:val="21"/>
          <w:szCs w:val="21"/>
          <w:u w:val="single"/>
          <w:lang w:eastAsia="es-CO"/>
        </w:rPr>
        <w:lastRenderedPageBreak/>
        <w:t>efecto del criterio de «favorabilidad» que aquí alegan los demandantes, sino por expresa disposición legislativa</w:t>
      </w:r>
      <w:r w:rsidRPr="00DE0609">
        <w:rPr>
          <w:rFonts w:ascii="Helvetica" w:eastAsia="Times New Roman" w:hAnsi="Helvetica" w:cs="Helvetica"/>
          <w:i/>
          <w:iCs/>
          <w:sz w:val="21"/>
          <w:szCs w:val="21"/>
          <w:u w:val="single"/>
          <w:lang w:eastAsia="es-CO"/>
        </w:rPr>
        <w:t>,</w:t>
      </w:r>
      <w:r w:rsidRPr="00DE0609">
        <w:rPr>
          <w:rFonts w:ascii="Helvetica" w:eastAsia="Times New Roman" w:hAnsi="Helvetica" w:cs="Helvetica"/>
          <w:i/>
          <w:iCs/>
          <w:sz w:val="21"/>
          <w:szCs w:val="21"/>
          <w:lang w:eastAsia="es-CO"/>
        </w:rPr>
        <w:t> lo cual recalcó la Corte Constitucional al considerar que «en relación con el beneficio comentado, el legislador estableció una regla específica para su vigencia». Por tanto, si bien se trata de un pronunciamiento judicial relativo al mismo tema del cual se ocupa el acto acusado, no constituye un precedente judicial desatendido.</w:t>
      </w:r>
    </w:p>
    <w:p w14:paraId="608EFE1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8B5FE6F"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12- En resumidas cuentas, esta Sala juzga que, por las razones arriba expuestas con detalle, no existe el precedente jurisprudencial alegado en la acusación. Así las cosas, </w:t>
      </w:r>
      <w:r w:rsidRPr="00DE0609">
        <w:rPr>
          <w:rFonts w:ascii="Helvetica" w:eastAsia="Times New Roman" w:hAnsi="Helvetica" w:cs="Helvetica"/>
          <w:b/>
          <w:bCs/>
          <w:i/>
          <w:iCs/>
          <w:sz w:val="21"/>
          <w:szCs w:val="21"/>
          <w:u w:val="single"/>
          <w:lang w:eastAsia="es-CO"/>
        </w:rPr>
        <w:t>ni de la Constitución, ni de la ley, ni de la jurisprudencia vigente, surge el principio de favorabilidad como un mandato que imponga la forzosa aplicación inmediata de las normas que modifican de manera beneficiosa los elementos de los tributos de período</w:t>
      </w:r>
      <w:r w:rsidRPr="00DE0609">
        <w:rPr>
          <w:rFonts w:ascii="Helvetica" w:eastAsia="Times New Roman" w:hAnsi="Helvetica" w:cs="Helvetica"/>
          <w:i/>
          <w:iCs/>
          <w:sz w:val="21"/>
          <w:szCs w:val="21"/>
          <w:lang w:eastAsia="es-CO"/>
        </w:rPr>
        <w:t>. Por esa razón, no entraña ninguna ilegalidad el acto acusado pues, tanto en la tesis que afirma como en el análisis jurídico que realiza, deja en claro que </w:t>
      </w:r>
      <w:r w:rsidRPr="00DE0609">
        <w:rPr>
          <w:rFonts w:ascii="Helvetica" w:eastAsia="Times New Roman" w:hAnsi="Helvetica" w:cs="Helvetica"/>
          <w:b/>
          <w:bCs/>
          <w:i/>
          <w:iCs/>
          <w:sz w:val="21"/>
          <w:szCs w:val="21"/>
          <w:u w:val="single"/>
          <w:lang w:eastAsia="es-CO"/>
        </w:rPr>
        <w:t>en el ámbito tributario la «favorabilidad» no representa un precepto que habilite al destinatario de la norma a plantear la aplicación de la disposición novedosa antes de que inicie su vigencia, a partir de ejercicios interpretativos sobre el favor o desfavor que conlleva</w:t>
      </w:r>
      <w:r w:rsidRPr="00DE0609">
        <w:rPr>
          <w:rFonts w:ascii="Helvetica" w:eastAsia="Times New Roman" w:hAnsi="Helvetica" w:cs="Helvetica"/>
          <w:b/>
          <w:bCs/>
          <w:i/>
          <w:iCs/>
          <w:sz w:val="21"/>
          <w:szCs w:val="21"/>
          <w:lang w:eastAsia="es-CO"/>
        </w:rPr>
        <w:t>”</w:t>
      </w:r>
      <w:r w:rsidRPr="00DE0609">
        <w:rPr>
          <w:rFonts w:ascii="Helvetica" w:eastAsia="Times New Roman" w:hAnsi="Helvetica" w:cs="Helvetica"/>
          <w:i/>
          <w:iCs/>
          <w:sz w:val="21"/>
          <w:szCs w:val="21"/>
          <w:lang w:eastAsia="es-CO"/>
        </w:rPr>
        <w:t>. (</w:t>
      </w:r>
      <w:r w:rsidRPr="00DE0609">
        <w:rPr>
          <w:rFonts w:ascii="Helvetica" w:eastAsia="Times New Roman" w:hAnsi="Helvetica" w:cs="Helvetica"/>
          <w:sz w:val="21"/>
          <w:szCs w:val="21"/>
          <w:lang w:eastAsia="es-CO"/>
        </w:rPr>
        <w:t>Subrayado y negrilla fuera de texto)</w:t>
      </w:r>
    </w:p>
    <w:p w14:paraId="28EED8D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E028FB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De lo anterior se encuentra que, conforme con lo manifestado por el H. Consejo de Estado, a menos que haya expresa disposición legislativa, no existe en materia tributaria un mandato que exija la aplicación inmediata de las normas que modifican de manera beneficiosa los elementos de los tributos de período y, por lo tanto, no podrá alegarse “favorabilidad” para sustentar la aplicación inmediata de la ley.</w:t>
      </w:r>
    </w:p>
    <w:p w14:paraId="735156B8"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278C3DD"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Esto, teniendo en cuenta la interpretación y finalidad de los artículos 338 y 363 de la Constitución Política, en especial el artículo 338, el cual, de conformidad con lo expuesto por el Alto Tribunal, busca atacar el fenómeno de la irretroactividad impropia al disponer que las normas referidas a tributos cuya base sea el resultado de hechos ocurridos durante un período determinado, no pueden aplicarse sino a partir del período que comience después de iniciar la vigencia de la respectiva ley.</w:t>
      </w:r>
    </w:p>
    <w:p w14:paraId="3DFEA1D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C949E68"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xml:space="preserve">Así, se pone de presente que este Despacho ha reconocido lo establecido por el H. Consejo de Estado en sentencia del 27 de junio de 2019, radicación </w:t>
      </w:r>
      <w:proofErr w:type="spellStart"/>
      <w:r w:rsidRPr="00DE0609">
        <w:rPr>
          <w:rFonts w:ascii="Helvetica" w:eastAsia="Times New Roman" w:hAnsi="Helvetica" w:cs="Helvetica"/>
          <w:sz w:val="21"/>
          <w:szCs w:val="21"/>
          <w:lang w:eastAsia="es-CO"/>
        </w:rPr>
        <w:t>N°</w:t>
      </w:r>
      <w:proofErr w:type="spellEnd"/>
      <w:r w:rsidRPr="00DE0609">
        <w:rPr>
          <w:rFonts w:ascii="Helvetica" w:eastAsia="Times New Roman" w:hAnsi="Helvetica" w:cs="Helvetica"/>
          <w:sz w:val="21"/>
          <w:szCs w:val="21"/>
          <w:lang w:eastAsia="es-CO"/>
        </w:rPr>
        <w:t xml:space="preserve"> 11001-03-27-000-2016-00020- 00(22421), C.P. Julio Roberto Piza Rodríguez. Por ejemplo, en el Oficio No. 901489 [</w:t>
      </w:r>
      <w:proofErr w:type="spellStart"/>
      <w:r w:rsidRPr="00DE0609">
        <w:rPr>
          <w:rFonts w:ascii="Helvetica" w:eastAsia="Times New Roman" w:hAnsi="Helvetica" w:cs="Helvetica"/>
          <w:sz w:val="21"/>
          <w:szCs w:val="21"/>
          <w:lang w:eastAsia="es-CO"/>
        </w:rPr>
        <w:t>int</w:t>
      </w:r>
      <w:proofErr w:type="spellEnd"/>
      <w:r w:rsidRPr="00DE0609">
        <w:rPr>
          <w:rFonts w:ascii="Helvetica" w:eastAsia="Times New Roman" w:hAnsi="Helvetica" w:cs="Helvetica"/>
          <w:sz w:val="21"/>
          <w:szCs w:val="21"/>
          <w:lang w:eastAsia="es-CO"/>
        </w:rPr>
        <w:t>. 447] del 19 de noviembre de 2021, al analizar la aplicación de los nuevos requisitos introducidos por la Ley 2155 de 2021 al incentivo tributario para empresas de economía naranja, este Despacho indicó:</w:t>
      </w:r>
    </w:p>
    <w:p w14:paraId="1C8DF70A"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0D4B0CD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 Atendiendo lo consagrado en las antepuestas disposiciones de rango constitucional, resulta patente que los cambios efectuados por la Ley 2155 de 2021 (antes detallados) solo aplican a partir del 1° de enero del año 2022, ya que el incentivo tributario contenido en el numeral 1 del </w:t>
      </w:r>
      <w:r w:rsidRPr="00DE0609">
        <w:rPr>
          <w:rFonts w:ascii="Helvetica" w:eastAsia="Times New Roman" w:hAnsi="Helvetica" w:cs="Helvetica"/>
          <w:i/>
          <w:iCs/>
          <w:sz w:val="21"/>
          <w:szCs w:val="21"/>
          <w:u w:val="single"/>
          <w:lang w:eastAsia="es-CO"/>
        </w:rPr>
        <w:t>artículo 235-2</w:t>
      </w:r>
      <w:r w:rsidRPr="00DE0609">
        <w:rPr>
          <w:rFonts w:ascii="Helvetica" w:eastAsia="Times New Roman" w:hAnsi="Helvetica" w:cs="Helvetica"/>
          <w:i/>
          <w:iCs/>
          <w:sz w:val="21"/>
          <w:szCs w:val="21"/>
          <w:lang w:eastAsia="es-CO"/>
        </w:rPr>
        <w:t> del Estatuto Tributario -así como en sus demás numerales</w:t>
      </w:r>
      <w:r w:rsidRPr="00DE0609">
        <w:rPr>
          <w:rFonts w:ascii="Helvetica" w:eastAsia="Times New Roman" w:hAnsi="Helvetica" w:cs="Helvetica"/>
          <w:b/>
          <w:bCs/>
          <w:i/>
          <w:iCs/>
          <w:sz w:val="21"/>
          <w:szCs w:val="21"/>
          <w:u w:val="single"/>
          <w:lang w:eastAsia="es-CO"/>
        </w:rPr>
        <w:t xml:space="preserve">- está relacionado con el impuesto sobre la renta y complementarios (el cual se caracteriza por ser un impuesto de </w:t>
      </w:r>
      <w:r w:rsidRPr="00DE0609">
        <w:rPr>
          <w:rFonts w:ascii="Helvetica" w:eastAsia="Times New Roman" w:hAnsi="Helvetica" w:cs="Helvetica"/>
          <w:b/>
          <w:bCs/>
          <w:i/>
          <w:iCs/>
          <w:sz w:val="21"/>
          <w:szCs w:val="21"/>
          <w:u w:val="single"/>
          <w:lang w:eastAsia="es-CO"/>
        </w:rPr>
        <w:lastRenderedPageBreak/>
        <w:t>período)</w:t>
      </w:r>
      <w:r w:rsidRPr="00DE0609">
        <w:rPr>
          <w:rFonts w:ascii="Helvetica" w:eastAsia="Times New Roman" w:hAnsi="Helvetica" w:cs="Helvetica"/>
          <w:i/>
          <w:iCs/>
          <w:sz w:val="21"/>
          <w:szCs w:val="21"/>
          <w:u w:val="single"/>
          <w:lang w:eastAsia="es-CO"/>
        </w:rPr>
        <w:t>,</w:t>
      </w:r>
      <w:r w:rsidRPr="00DE0609">
        <w:rPr>
          <w:rFonts w:ascii="Helvetica" w:eastAsia="Times New Roman" w:hAnsi="Helvetica" w:cs="Helvetica"/>
          <w:i/>
          <w:iCs/>
          <w:sz w:val="21"/>
          <w:szCs w:val="21"/>
          <w:lang w:eastAsia="es-CO"/>
        </w:rPr>
        <w:t> específicamente en lo atinente al tratamiento de renta exenta atribuido a algunos ingresos que, de otra manera, estarían sometidos a imposición, incidiendo así en su base gravable.</w:t>
      </w:r>
    </w:p>
    <w:p w14:paraId="133804D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71DC407"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 xml:space="preserve">En efecto, el Consejo de Estado, Sala de lo Contencioso Administrativo, Sección Cuarta, C.P. MARTHA TERESA BRICEÑO DE VALENCIA, en la Sentencia del 4 de febrero de 2010, Radicación </w:t>
      </w:r>
      <w:proofErr w:type="spellStart"/>
      <w:r w:rsidRPr="00DE0609">
        <w:rPr>
          <w:rFonts w:ascii="Helvetica" w:eastAsia="Times New Roman" w:hAnsi="Helvetica" w:cs="Helvetica"/>
          <w:i/>
          <w:iCs/>
          <w:sz w:val="21"/>
          <w:szCs w:val="21"/>
          <w:lang w:eastAsia="es-CO"/>
        </w:rPr>
        <w:t>N°</w:t>
      </w:r>
      <w:proofErr w:type="spellEnd"/>
      <w:r w:rsidRPr="00DE0609">
        <w:rPr>
          <w:rFonts w:ascii="Helvetica" w:eastAsia="Times New Roman" w:hAnsi="Helvetica" w:cs="Helvetica"/>
          <w:i/>
          <w:iCs/>
          <w:sz w:val="21"/>
          <w:szCs w:val="21"/>
          <w:lang w:eastAsia="es-CO"/>
        </w:rPr>
        <w:t xml:space="preserve"> 11001-03-27-000-2008-00018-00(17146), manifestó en torno al artículo 363 Superior:</w:t>
      </w:r>
    </w:p>
    <w:p w14:paraId="7BF63547"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2F66E4D9"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w:t>
      </w:r>
    </w:p>
    <w:p w14:paraId="19661CA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7D65A82D"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i/>
          <w:iCs/>
          <w:sz w:val="21"/>
          <w:szCs w:val="21"/>
          <w:u w:val="single"/>
          <w:lang w:eastAsia="es-CO"/>
        </w:rPr>
        <w:t xml:space="preserve">En la Sentencia del 27 de junio de 2019, Radicación </w:t>
      </w:r>
      <w:proofErr w:type="spellStart"/>
      <w:r w:rsidRPr="00DE0609">
        <w:rPr>
          <w:rFonts w:ascii="Helvetica" w:eastAsia="Times New Roman" w:hAnsi="Helvetica" w:cs="Helvetica"/>
          <w:b/>
          <w:bCs/>
          <w:i/>
          <w:iCs/>
          <w:sz w:val="21"/>
          <w:szCs w:val="21"/>
          <w:u w:val="single"/>
          <w:lang w:eastAsia="es-CO"/>
        </w:rPr>
        <w:t>N°</w:t>
      </w:r>
      <w:proofErr w:type="spellEnd"/>
      <w:r w:rsidRPr="00DE0609">
        <w:rPr>
          <w:rFonts w:ascii="Helvetica" w:eastAsia="Times New Roman" w:hAnsi="Helvetica" w:cs="Helvetica"/>
          <w:b/>
          <w:bCs/>
          <w:i/>
          <w:iCs/>
          <w:sz w:val="21"/>
          <w:szCs w:val="21"/>
          <w:u w:val="single"/>
          <w:lang w:eastAsia="es-CO"/>
        </w:rPr>
        <w:t xml:space="preserve"> 11001-03-27-000-2016-00020-00 (22421), C.P. JULIO ROBERTO PIZA RODRÍGUEZ, la mencionada Corporación igualmente indicó</w:t>
      </w:r>
      <w:r w:rsidRPr="00DE0609">
        <w:rPr>
          <w:rFonts w:ascii="Helvetica" w:eastAsia="Times New Roman" w:hAnsi="Helvetica" w:cs="Helvetica"/>
          <w:i/>
          <w:iCs/>
          <w:sz w:val="21"/>
          <w:szCs w:val="21"/>
          <w:lang w:eastAsia="es-CO"/>
        </w:rPr>
        <w:t>: “(...) para cerrarle puertas tanto a la </w:t>
      </w:r>
      <w:r w:rsidRPr="00DE0609">
        <w:rPr>
          <w:rFonts w:ascii="Helvetica" w:eastAsia="Times New Roman" w:hAnsi="Helvetica" w:cs="Helvetica"/>
          <w:i/>
          <w:iCs/>
          <w:sz w:val="21"/>
          <w:szCs w:val="21"/>
          <w:u w:val="single"/>
          <w:lang w:eastAsia="es-CO"/>
        </w:rPr>
        <w:t>retroactividad propia</w:t>
      </w:r>
      <w:r w:rsidRPr="00DE0609">
        <w:rPr>
          <w:rFonts w:ascii="Helvetica" w:eastAsia="Times New Roman" w:hAnsi="Helvetica" w:cs="Helvetica"/>
          <w:i/>
          <w:iCs/>
          <w:sz w:val="21"/>
          <w:szCs w:val="21"/>
          <w:lang w:eastAsia="es-CO"/>
        </w:rPr>
        <w:t> (i.e. la producida cuando las nuevas disposiciones regulan supuestos de hecho de períodos ya concluidos), como </w:t>
      </w:r>
      <w:r w:rsidRPr="00DE0609">
        <w:rPr>
          <w:rFonts w:ascii="Helvetica" w:eastAsia="Times New Roman" w:hAnsi="Helvetica" w:cs="Helvetica"/>
          <w:i/>
          <w:iCs/>
          <w:sz w:val="21"/>
          <w:szCs w:val="21"/>
          <w:u w:val="single"/>
          <w:lang w:eastAsia="es-CO"/>
        </w:rPr>
        <w:t>a la retroactividad impropia</w:t>
      </w:r>
      <w:r w:rsidRPr="00DE0609">
        <w:rPr>
          <w:rFonts w:ascii="Helvetica" w:eastAsia="Times New Roman" w:hAnsi="Helvetica" w:cs="Helvetica"/>
          <w:i/>
          <w:iCs/>
          <w:sz w:val="21"/>
          <w:szCs w:val="21"/>
          <w:lang w:eastAsia="es-CO"/>
        </w:rPr>
        <w:t> (i.e. la que tiene lugar cuando las nuevas normas inciden sobre hechos imponibles que se están desarrollando en el período gravable en curso), nuestra Constitución adoptó reglas estrictas sobre la materia.</w:t>
      </w:r>
    </w:p>
    <w:p w14:paraId="3FF1B611"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36E27D6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De una parte, el artículo 363 proscribió los efectos retroactivos de las disposiciones tributarias; y, de otra, el inciso final del artículo 338 dispuso que las normas referidas a tributos cuya «base sea el resultado de hechos ocurridos durante un período determinado, no pueden aplicarse sino a partir del período que comience después de iniciar la vigencia de la respectiva ley, ordenanza o acuerdo». </w:t>
      </w:r>
      <w:r w:rsidRPr="00DE0609">
        <w:rPr>
          <w:rFonts w:ascii="Helvetica" w:eastAsia="Times New Roman" w:hAnsi="Helvetica" w:cs="Helvetica"/>
          <w:i/>
          <w:iCs/>
          <w:sz w:val="21"/>
          <w:szCs w:val="21"/>
          <w:u w:val="single"/>
          <w:lang w:eastAsia="es-CO"/>
        </w:rPr>
        <w:t xml:space="preserve">El primero de los artículos mencionados impide en términos generales la retroacción, mientras que el </w:t>
      </w:r>
      <w:proofErr w:type="gramStart"/>
      <w:r w:rsidRPr="00DE0609">
        <w:rPr>
          <w:rFonts w:ascii="Helvetica" w:eastAsia="Times New Roman" w:hAnsi="Helvetica" w:cs="Helvetica"/>
          <w:i/>
          <w:iCs/>
          <w:sz w:val="21"/>
          <w:szCs w:val="21"/>
          <w:u w:val="single"/>
          <w:lang w:eastAsia="es-CO"/>
        </w:rPr>
        <w:t>último ataja</w:t>
      </w:r>
      <w:proofErr w:type="gramEnd"/>
      <w:r w:rsidRPr="00DE0609">
        <w:rPr>
          <w:rFonts w:ascii="Helvetica" w:eastAsia="Times New Roman" w:hAnsi="Helvetica" w:cs="Helvetica"/>
          <w:i/>
          <w:iCs/>
          <w:sz w:val="21"/>
          <w:szCs w:val="21"/>
          <w:u w:val="single"/>
          <w:lang w:eastAsia="es-CO"/>
        </w:rPr>
        <w:t xml:space="preserve"> una específica manifestación de ese fenómeno: la retroactividad impropia</w:t>
      </w:r>
      <w:r w:rsidRPr="00DE0609">
        <w:rPr>
          <w:rFonts w:ascii="Helvetica" w:eastAsia="Times New Roman" w:hAnsi="Helvetica" w:cs="Helvetica"/>
          <w:i/>
          <w:iCs/>
          <w:sz w:val="21"/>
          <w:szCs w:val="21"/>
          <w:lang w:eastAsia="es-CO"/>
        </w:rPr>
        <w:t>”. (Subrayado fuera de texto).</w:t>
      </w:r>
    </w:p>
    <w:p w14:paraId="29F26A82"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53ECC1A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Con base en lo anterior, se exponen los siguientes escenarios para efectos de lo consultado:</w:t>
      </w:r>
    </w:p>
    <w:p w14:paraId="3CCD5DD6"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2D95A97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i/>
          <w:iCs/>
          <w:sz w:val="21"/>
          <w:szCs w:val="21"/>
          <w:lang w:eastAsia="es-CO"/>
        </w:rPr>
        <w:t xml:space="preserve">a. Contribuyentes que cuentan con el respectivo acto de conformidad emitido por el Ministerio de Cultura desde antes de la </w:t>
      </w:r>
      <w:proofErr w:type="gramStart"/>
      <w:r w:rsidRPr="00DE0609">
        <w:rPr>
          <w:rFonts w:ascii="Helvetica" w:eastAsia="Times New Roman" w:hAnsi="Helvetica" w:cs="Helvetica"/>
          <w:b/>
          <w:bCs/>
          <w:i/>
          <w:iCs/>
          <w:sz w:val="21"/>
          <w:szCs w:val="21"/>
          <w:lang w:eastAsia="es-CO"/>
        </w:rPr>
        <w:t>entrada en vigencia</w:t>
      </w:r>
      <w:proofErr w:type="gramEnd"/>
      <w:r w:rsidRPr="00DE0609">
        <w:rPr>
          <w:rFonts w:ascii="Helvetica" w:eastAsia="Times New Roman" w:hAnsi="Helvetica" w:cs="Helvetica"/>
          <w:b/>
          <w:bCs/>
          <w:i/>
          <w:iCs/>
          <w:sz w:val="21"/>
          <w:szCs w:val="21"/>
          <w:lang w:eastAsia="es-CO"/>
        </w:rPr>
        <w:t xml:space="preserve"> de la Ley 2155 de 2021.</w:t>
      </w:r>
    </w:p>
    <w:p w14:paraId="61941CF0"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0A271F0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w:t>
      </w:r>
    </w:p>
    <w:p w14:paraId="19DECC81"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3582CB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i/>
          <w:iCs/>
          <w:sz w:val="21"/>
          <w:szCs w:val="21"/>
          <w:u w:val="single"/>
          <w:lang w:eastAsia="es-CO"/>
        </w:rPr>
        <w:t xml:space="preserve">Dejando de lado la aplicación favorable de la ley tributaria, sobre lo cual el propio Consejo de Estado y esta Entidad han expresado en reiteradas ocasiones su improcedencia (cfr. Sentencia del 27 de junio de 2019, Radicación </w:t>
      </w:r>
      <w:proofErr w:type="spellStart"/>
      <w:r w:rsidRPr="00DE0609">
        <w:rPr>
          <w:rFonts w:ascii="Helvetica" w:eastAsia="Times New Roman" w:hAnsi="Helvetica" w:cs="Helvetica"/>
          <w:b/>
          <w:bCs/>
          <w:i/>
          <w:iCs/>
          <w:sz w:val="21"/>
          <w:szCs w:val="21"/>
          <w:u w:val="single"/>
          <w:lang w:eastAsia="es-CO"/>
        </w:rPr>
        <w:t>N°</w:t>
      </w:r>
      <w:proofErr w:type="spellEnd"/>
      <w:r w:rsidRPr="00DE0609">
        <w:rPr>
          <w:rFonts w:ascii="Helvetica" w:eastAsia="Times New Roman" w:hAnsi="Helvetica" w:cs="Helvetica"/>
          <w:b/>
          <w:bCs/>
          <w:i/>
          <w:iCs/>
          <w:sz w:val="21"/>
          <w:szCs w:val="21"/>
          <w:u w:val="single"/>
          <w:lang w:eastAsia="es-CO"/>
        </w:rPr>
        <w:t xml:space="preserve"> 11001-03-27-000- 2016-00020-00(22421) antes citada</w:t>
      </w:r>
      <w:r w:rsidRPr="00DE0609">
        <w:rPr>
          <w:rFonts w:ascii="Helvetica" w:eastAsia="Times New Roman" w:hAnsi="Helvetica" w:cs="Helvetica"/>
          <w:b/>
          <w:bCs/>
          <w:i/>
          <w:iCs/>
          <w:sz w:val="21"/>
          <w:szCs w:val="21"/>
          <w:lang w:eastAsia="es-CO"/>
        </w:rPr>
        <w:t> </w:t>
      </w:r>
      <w:r w:rsidRPr="00DE0609">
        <w:rPr>
          <w:rFonts w:ascii="Helvetica" w:eastAsia="Times New Roman" w:hAnsi="Helvetica" w:cs="Helvetica"/>
          <w:i/>
          <w:iCs/>
          <w:sz w:val="21"/>
          <w:szCs w:val="21"/>
          <w:lang w:eastAsia="es-CO"/>
        </w:rPr>
        <w:t xml:space="preserve">y Concepto </w:t>
      </w:r>
      <w:proofErr w:type="spellStart"/>
      <w:r w:rsidRPr="00DE0609">
        <w:rPr>
          <w:rFonts w:ascii="Helvetica" w:eastAsia="Times New Roman" w:hAnsi="Helvetica" w:cs="Helvetica"/>
          <w:i/>
          <w:iCs/>
          <w:sz w:val="21"/>
          <w:szCs w:val="21"/>
          <w:lang w:eastAsia="es-CO"/>
        </w:rPr>
        <w:t>N°</w:t>
      </w:r>
      <w:proofErr w:type="spellEnd"/>
      <w:r w:rsidRPr="00DE0609">
        <w:rPr>
          <w:rFonts w:ascii="Helvetica" w:eastAsia="Times New Roman" w:hAnsi="Helvetica" w:cs="Helvetica"/>
          <w:i/>
          <w:iCs/>
          <w:sz w:val="21"/>
          <w:szCs w:val="21"/>
          <w:lang w:eastAsia="es-CO"/>
        </w:rPr>
        <w:t xml:space="preserve"> 018128 del 19 de junio de 2015, entre otros pronunciamientos), salvo en lo referente al régimen tributario sancionatorio, para este Despacho los contribuyentes cuentan con una situación jurídica consolidada en el escenario planteado.</w:t>
      </w:r>
    </w:p>
    <w:p w14:paraId="38B8E0CB"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lastRenderedPageBreak/>
        <w:t> </w:t>
      </w:r>
    </w:p>
    <w:p w14:paraId="2794A3F0"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w:t>
      </w:r>
    </w:p>
    <w:p w14:paraId="0C62000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26A7340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i/>
          <w:iCs/>
          <w:sz w:val="21"/>
          <w:szCs w:val="21"/>
          <w:lang w:eastAsia="es-CO"/>
        </w:rPr>
        <w:t>b. Contribuyentes que desean acogerse al tratamiento contemplado en el numeral 1 del </w:t>
      </w:r>
      <w:r w:rsidRPr="00DE0609">
        <w:rPr>
          <w:rFonts w:ascii="Helvetica" w:eastAsia="Times New Roman" w:hAnsi="Helvetica" w:cs="Helvetica"/>
          <w:b/>
          <w:bCs/>
          <w:i/>
          <w:iCs/>
          <w:sz w:val="21"/>
          <w:szCs w:val="21"/>
          <w:u w:val="single"/>
          <w:lang w:eastAsia="es-CO"/>
        </w:rPr>
        <w:t>artículo 235-2</w:t>
      </w:r>
      <w:r w:rsidRPr="00DE0609">
        <w:rPr>
          <w:rFonts w:ascii="Helvetica" w:eastAsia="Times New Roman" w:hAnsi="Helvetica" w:cs="Helvetica"/>
          <w:b/>
          <w:bCs/>
          <w:i/>
          <w:iCs/>
          <w:sz w:val="21"/>
          <w:szCs w:val="21"/>
          <w:lang w:eastAsia="es-CO"/>
        </w:rPr>
        <w:t xml:space="preserve"> del Estatuto Tributario después de la </w:t>
      </w:r>
      <w:proofErr w:type="gramStart"/>
      <w:r w:rsidRPr="00DE0609">
        <w:rPr>
          <w:rFonts w:ascii="Helvetica" w:eastAsia="Times New Roman" w:hAnsi="Helvetica" w:cs="Helvetica"/>
          <w:b/>
          <w:bCs/>
          <w:i/>
          <w:iCs/>
          <w:sz w:val="21"/>
          <w:szCs w:val="21"/>
          <w:lang w:eastAsia="es-CO"/>
        </w:rPr>
        <w:t>entrada en vigencia</w:t>
      </w:r>
      <w:proofErr w:type="gramEnd"/>
      <w:r w:rsidRPr="00DE0609">
        <w:rPr>
          <w:rFonts w:ascii="Helvetica" w:eastAsia="Times New Roman" w:hAnsi="Helvetica" w:cs="Helvetica"/>
          <w:b/>
          <w:bCs/>
          <w:i/>
          <w:iCs/>
          <w:sz w:val="21"/>
          <w:szCs w:val="21"/>
          <w:lang w:eastAsia="es-CO"/>
        </w:rPr>
        <w:t xml:space="preserve"> de la Ley 2155 de 2021 y antes de finalizar el 31 de diciembre de 2021.</w:t>
      </w:r>
    </w:p>
    <w:p w14:paraId="7784C311"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3B3C560B"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Como se expuso previamente, </w:t>
      </w:r>
      <w:r w:rsidRPr="00DE0609">
        <w:rPr>
          <w:rFonts w:ascii="Helvetica" w:eastAsia="Times New Roman" w:hAnsi="Helvetica" w:cs="Helvetica"/>
          <w:b/>
          <w:bCs/>
          <w:i/>
          <w:iCs/>
          <w:sz w:val="21"/>
          <w:szCs w:val="21"/>
          <w:u w:val="single"/>
          <w:lang w:eastAsia="es-CO"/>
        </w:rPr>
        <w:t>los cambios efectuados por la Ley 2155 de 2021 al beneficio tributario aquí analizado solo aplican a partir del 1° de enero de 2022</w:t>
      </w:r>
      <w:r w:rsidRPr="00DE0609">
        <w:rPr>
          <w:rFonts w:ascii="Helvetica" w:eastAsia="Times New Roman" w:hAnsi="Helvetica" w:cs="Helvetica"/>
          <w:i/>
          <w:iCs/>
          <w:sz w:val="21"/>
          <w:szCs w:val="21"/>
          <w:u w:val="single"/>
          <w:lang w:eastAsia="es-CO"/>
        </w:rPr>
        <w:t>,</w:t>
      </w:r>
      <w:r w:rsidRPr="00DE0609">
        <w:rPr>
          <w:rFonts w:ascii="Helvetica" w:eastAsia="Times New Roman" w:hAnsi="Helvetica" w:cs="Helvetica"/>
          <w:i/>
          <w:iCs/>
          <w:sz w:val="21"/>
          <w:szCs w:val="21"/>
          <w:lang w:eastAsia="es-CO"/>
        </w:rPr>
        <w:t> motivo por el cual los contribuyentes y la Administración Tributaria deben observar lo indicado en el punto anterior (a).</w:t>
      </w:r>
    </w:p>
    <w:p w14:paraId="14BDA902"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4B09705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i/>
          <w:iCs/>
          <w:sz w:val="21"/>
          <w:szCs w:val="21"/>
          <w:lang w:eastAsia="es-CO"/>
        </w:rPr>
        <w:t>c. Contribuyentes que se desean acoger al tratamiento contemplado en el numeral 1 del </w:t>
      </w:r>
      <w:r w:rsidRPr="00DE0609">
        <w:rPr>
          <w:rFonts w:ascii="Helvetica" w:eastAsia="Times New Roman" w:hAnsi="Helvetica" w:cs="Helvetica"/>
          <w:b/>
          <w:bCs/>
          <w:i/>
          <w:iCs/>
          <w:sz w:val="21"/>
          <w:szCs w:val="21"/>
          <w:u w:val="single"/>
          <w:lang w:eastAsia="es-CO"/>
        </w:rPr>
        <w:t>artículo 235-2</w:t>
      </w:r>
      <w:r w:rsidRPr="00DE0609">
        <w:rPr>
          <w:rFonts w:ascii="Helvetica" w:eastAsia="Times New Roman" w:hAnsi="Helvetica" w:cs="Helvetica"/>
          <w:b/>
          <w:bCs/>
          <w:i/>
          <w:iCs/>
          <w:sz w:val="21"/>
          <w:szCs w:val="21"/>
          <w:lang w:eastAsia="es-CO"/>
        </w:rPr>
        <w:t> del Estatuto Tributario a partir del 1° de enero de 2022.</w:t>
      </w:r>
    </w:p>
    <w:p w14:paraId="44289A4B"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64B40869"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En la aplicación de la renta exenta se deberá atender el numeral 1 del </w:t>
      </w:r>
      <w:r w:rsidRPr="00DE0609">
        <w:rPr>
          <w:rFonts w:ascii="Helvetica" w:eastAsia="Times New Roman" w:hAnsi="Helvetica" w:cs="Helvetica"/>
          <w:i/>
          <w:iCs/>
          <w:sz w:val="21"/>
          <w:szCs w:val="21"/>
          <w:u w:val="single"/>
          <w:lang w:eastAsia="es-CO"/>
        </w:rPr>
        <w:t>artículo 235-2</w:t>
      </w:r>
      <w:r w:rsidRPr="00DE0609">
        <w:rPr>
          <w:rFonts w:ascii="Helvetica" w:eastAsia="Times New Roman" w:hAnsi="Helvetica" w:cs="Helvetica"/>
          <w:i/>
          <w:iCs/>
          <w:sz w:val="21"/>
          <w:szCs w:val="21"/>
          <w:lang w:eastAsia="es-CO"/>
        </w:rPr>
        <w:t> del Estatuto Tributario teniendo en cuenta los cambios realizados por la Ley 2155 de 2021, con lo cual:</w:t>
      </w:r>
    </w:p>
    <w:p w14:paraId="69B383D3"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26D53422" w14:textId="77777777" w:rsidR="00DE0609" w:rsidRPr="00DE0609" w:rsidRDefault="00DE0609" w:rsidP="00DE0609">
      <w:pPr>
        <w:numPr>
          <w:ilvl w:val="0"/>
          <w:numId w:val="1"/>
        </w:numPr>
        <w:shd w:val="clear" w:color="auto" w:fill="FFFFFF"/>
        <w:spacing w:before="100" w:beforeAutospacing="1" w:after="100" w:afterAutospacing="1"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El término para disfrutar de la renta exenta es de 5 años.</w:t>
      </w:r>
    </w:p>
    <w:p w14:paraId="5C3DC734" w14:textId="77777777" w:rsidR="00DE0609" w:rsidRPr="00DE0609" w:rsidRDefault="00DE0609" w:rsidP="00DE0609">
      <w:pPr>
        <w:numPr>
          <w:ilvl w:val="0"/>
          <w:numId w:val="2"/>
        </w:numPr>
        <w:shd w:val="clear" w:color="auto" w:fill="FFFFFF"/>
        <w:spacing w:before="100" w:beforeAutospacing="1" w:after="100" w:afterAutospacing="1" w:line="360" w:lineRule="auto"/>
        <w:jc w:val="both"/>
        <w:rPr>
          <w:rFonts w:ascii="Helvetica" w:eastAsia="Times New Roman" w:hAnsi="Helvetica" w:cs="Helvetica"/>
          <w:sz w:val="21"/>
          <w:szCs w:val="21"/>
          <w:lang w:eastAsia="es-CO"/>
        </w:rPr>
      </w:pPr>
      <w:r w:rsidRPr="00DE0609">
        <w:rPr>
          <w:rFonts w:ascii="Helvetica" w:eastAsia="Times New Roman" w:hAnsi="Helvetica" w:cs="Helvetica"/>
          <w:i/>
          <w:iCs/>
          <w:sz w:val="21"/>
          <w:szCs w:val="21"/>
          <w:lang w:eastAsia="es-CO"/>
        </w:rPr>
        <w:t>No se está obligado a cumplir con un monto mínimo de inversión”.</w:t>
      </w:r>
    </w:p>
    <w:p w14:paraId="49100156"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357D0A01"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8F5A1E8"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Atentamente,</w:t>
      </w:r>
    </w:p>
    <w:p w14:paraId="2250F71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1723A424"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 </w:t>
      </w:r>
    </w:p>
    <w:p w14:paraId="4D5CC5CE"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b/>
          <w:bCs/>
          <w:sz w:val="21"/>
          <w:szCs w:val="21"/>
          <w:lang w:eastAsia="es-CO"/>
        </w:rPr>
        <w:t>NICOLÁS BERNAL ABELLA</w:t>
      </w:r>
    </w:p>
    <w:p w14:paraId="7B1D49AC"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Subdirector de Normativa y Doctrina (E)</w:t>
      </w:r>
    </w:p>
    <w:p w14:paraId="2DA04385" w14:textId="77777777" w:rsidR="00DE0609" w:rsidRPr="00DE0609" w:rsidRDefault="00DE0609" w:rsidP="00DE0609">
      <w:pPr>
        <w:shd w:val="clear" w:color="auto" w:fill="FFFFFF"/>
        <w:spacing w:after="15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Dirección de Gestión Jurídica</w:t>
      </w:r>
    </w:p>
    <w:p w14:paraId="784B1EDA" w14:textId="77777777" w:rsidR="00DE0609" w:rsidRPr="00DE0609" w:rsidRDefault="00DE0609" w:rsidP="00DE0609">
      <w:pPr>
        <w:shd w:val="clear" w:color="auto" w:fill="FFFFFF"/>
        <w:spacing w:after="0" w:line="360" w:lineRule="auto"/>
        <w:jc w:val="both"/>
        <w:rPr>
          <w:rFonts w:ascii="Helvetica" w:eastAsia="Times New Roman" w:hAnsi="Helvetica" w:cs="Helvetica"/>
          <w:sz w:val="21"/>
          <w:szCs w:val="21"/>
          <w:lang w:eastAsia="es-CO"/>
        </w:rPr>
      </w:pPr>
      <w:r w:rsidRPr="00DE0609">
        <w:rPr>
          <w:rFonts w:ascii="Helvetica" w:eastAsia="Times New Roman" w:hAnsi="Helvetica" w:cs="Helvetica"/>
          <w:sz w:val="21"/>
          <w:szCs w:val="21"/>
          <w:lang w:eastAsia="es-CO"/>
        </w:rPr>
        <w:t>UAE-Dirección de Impuestos y Aduanas Nacionales</w:t>
      </w:r>
    </w:p>
    <w:p w14:paraId="179812E9" w14:textId="77777777" w:rsidR="007F5CC8" w:rsidRPr="00DE0609" w:rsidRDefault="007F5CC8" w:rsidP="00DE0609">
      <w:pPr>
        <w:spacing w:line="360" w:lineRule="auto"/>
      </w:pPr>
    </w:p>
    <w:sectPr w:rsidR="007F5CC8" w:rsidRPr="00DE060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E4A41"/>
    <w:multiLevelType w:val="multilevel"/>
    <w:tmpl w:val="A4AE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026921">
    <w:abstractNumId w:val="0"/>
    <w:lvlOverride w:ilvl="0">
      <w:startOverride w:val="1"/>
    </w:lvlOverride>
  </w:num>
  <w:num w:numId="2" w16cid:durableId="108202692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09"/>
    <w:rsid w:val="000F3837"/>
    <w:rsid w:val="001E311E"/>
    <w:rsid w:val="00434AE6"/>
    <w:rsid w:val="007F5CC8"/>
    <w:rsid w:val="008779BE"/>
    <w:rsid w:val="00DE0609"/>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648D"/>
  <w15:chartTrackingRefBased/>
  <w15:docId w15:val="{4A6D99B6-1C87-4AB9-BB7A-3BE64A63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1871</Words>
  <Characters>10293</Characters>
  <Application>Microsoft Office Word</Application>
  <DocSecurity>0</DocSecurity>
  <Lines>85</Lines>
  <Paragraphs>24</Paragraphs>
  <ScaleCrop>false</ScaleCrop>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2022-09-22T00:12:00Z</dcterms:created>
  <dcterms:modified xsi:type="dcterms:W3CDTF">2022-09-22T00:16:00Z</dcterms:modified>
</cp:coreProperties>
</file>